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黑体"/>
          <w:sz w:val="32"/>
          <w:szCs w:val="32"/>
        </w:rPr>
      </w:pPr>
      <w:r>
        <w:rPr>
          <w:rFonts w:hint="eastAsia" w:ascii="Times New Roman" w:hAnsi="Times New Roman" w:eastAsia="黑体" w:cs="黑体"/>
          <w:sz w:val="32"/>
          <w:szCs w:val="32"/>
        </w:rPr>
        <w:t xml:space="preserve">附件2 </w:t>
      </w:r>
    </w:p>
    <w:p>
      <w:pPr>
        <w:jc w:val="center"/>
        <w:rPr>
          <w:rFonts w:hint="eastAsia" w:ascii="Times New Roman" w:hAnsi="Times New Roman" w:eastAsia="方正小标宋简体"/>
          <w:sz w:val="40"/>
          <w:szCs w:val="40"/>
        </w:rPr>
      </w:pPr>
      <w:r>
        <w:rPr>
          <w:rFonts w:hint="eastAsia" w:ascii="Times New Roman" w:hAnsi="Times New Roman" w:eastAsia="方正小标宋简体"/>
          <w:sz w:val="40"/>
          <w:szCs w:val="40"/>
        </w:rPr>
        <w:t>第二十五届全国政协好新闻参评作品推荐表</w:t>
      </w:r>
    </w:p>
    <w:tbl>
      <w:tblPr>
        <w:tblStyle w:val="4"/>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188"/>
        <w:gridCol w:w="1111"/>
        <w:gridCol w:w="1462"/>
        <w:gridCol w:w="1435"/>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trPr>
        <w:tc>
          <w:tcPr>
            <w:tcW w:w="1639" w:type="dxa"/>
            <w:vMerge w:val="restart"/>
            <w:vAlign w:val="center"/>
          </w:tcPr>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作品标题</w:t>
            </w:r>
          </w:p>
        </w:tc>
        <w:tc>
          <w:tcPr>
            <w:tcW w:w="3761" w:type="dxa"/>
            <w:gridSpan w:val="3"/>
            <w:vMerge w:val="restart"/>
            <w:vAlign w:val="center"/>
          </w:tcPr>
          <w:p>
            <w:pPr>
              <w:spacing w:line="260" w:lineRule="exact"/>
              <w:rPr>
                <w:rFonts w:hint="default" w:ascii="Times New Roman" w:hAnsi="Times New Roman" w:eastAsia="黑体" w:cs="黑体"/>
                <w:color w:val="000000"/>
                <w:sz w:val="28"/>
                <w:szCs w:val="22"/>
                <w:lang w:val="en-US" w:eastAsia="zh-CN"/>
              </w:rPr>
            </w:pPr>
            <w:r>
              <w:rPr>
                <w:rFonts w:hint="eastAsia" w:ascii="Times New Roman" w:hAnsi="Times New Roman" w:eastAsia="仿宋_GB2312" w:cs="仿宋_GB2312"/>
                <w:color w:val="000000"/>
                <w:sz w:val="24"/>
                <w:szCs w:val="18"/>
                <w:lang w:val="en-US" w:eastAsia="zh-CN"/>
              </w:rPr>
              <w:t>这五年，他们为教育献智献策</w:t>
            </w:r>
          </w:p>
        </w:tc>
        <w:tc>
          <w:tcPr>
            <w:tcW w:w="1435" w:type="dxa"/>
            <w:vAlign w:val="center"/>
          </w:tcPr>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参评项目</w:t>
            </w:r>
          </w:p>
        </w:tc>
        <w:tc>
          <w:tcPr>
            <w:tcW w:w="2789" w:type="dxa"/>
            <w:vAlign w:val="center"/>
          </w:tcPr>
          <w:p>
            <w:pPr>
              <w:rPr>
                <w:rFonts w:hint="eastAsia" w:ascii="Times New Roman" w:hAnsi="Times New Roman" w:eastAsia="黑体" w:cs="黑体"/>
                <w:color w:val="000000"/>
                <w:sz w:val="28"/>
                <w:szCs w:val="22"/>
                <w:lang w:val="en-US" w:eastAsia="zh-CN"/>
              </w:rPr>
            </w:pPr>
            <w:r>
              <w:rPr>
                <w:rFonts w:hint="eastAsia" w:ascii="Times New Roman" w:hAnsi="Times New Roman" w:eastAsia="仿宋_GB2312" w:cs="仿宋_GB2312"/>
                <w:color w:val="000000"/>
                <w:sz w:val="24"/>
                <w:szCs w:val="18"/>
                <w:lang w:val="en-US" w:eastAsia="zh-CN"/>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trPr>
        <w:tc>
          <w:tcPr>
            <w:tcW w:w="1639" w:type="dxa"/>
            <w:vMerge w:val="continue"/>
            <w:vAlign w:val="center"/>
          </w:tcPr>
          <w:p>
            <w:pPr>
              <w:spacing w:line="380" w:lineRule="exact"/>
              <w:ind w:firstLine="560"/>
              <w:jc w:val="center"/>
              <w:rPr>
                <w:rFonts w:hint="eastAsia" w:ascii="Times New Roman" w:hAnsi="Times New Roman" w:eastAsia="黑体" w:cs="黑体"/>
                <w:color w:val="000000"/>
                <w:sz w:val="28"/>
                <w:szCs w:val="22"/>
              </w:rPr>
            </w:pPr>
          </w:p>
        </w:tc>
        <w:tc>
          <w:tcPr>
            <w:tcW w:w="3761" w:type="dxa"/>
            <w:gridSpan w:val="3"/>
            <w:vMerge w:val="continue"/>
            <w:vAlign w:val="center"/>
          </w:tcPr>
          <w:p>
            <w:pPr>
              <w:spacing w:line="380" w:lineRule="exact"/>
              <w:ind w:firstLine="560"/>
              <w:jc w:val="center"/>
              <w:rPr>
                <w:rFonts w:hint="eastAsia" w:ascii="Times New Roman" w:hAnsi="Times New Roman" w:eastAsia="黑体" w:cs="黑体"/>
                <w:color w:val="000000"/>
                <w:sz w:val="28"/>
                <w:szCs w:val="22"/>
              </w:rPr>
            </w:pPr>
          </w:p>
        </w:tc>
        <w:tc>
          <w:tcPr>
            <w:tcW w:w="1435" w:type="dxa"/>
            <w:vAlign w:val="center"/>
          </w:tcPr>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刊播介质</w:t>
            </w:r>
          </w:p>
        </w:tc>
        <w:tc>
          <w:tcPr>
            <w:tcW w:w="2789" w:type="dxa"/>
            <w:vAlign w:val="center"/>
          </w:tcPr>
          <w:p>
            <w:pPr>
              <w:spacing w:line="260" w:lineRule="exact"/>
              <w:rPr>
                <w:rFonts w:hint="eastAsia" w:ascii="Times New Roman" w:hAnsi="Times New Roman" w:eastAsia="黑体" w:cs="黑体"/>
                <w:color w:val="000000"/>
                <w:sz w:val="28"/>
                <w:szCs w:val="22"/>
                <w:lang w:val="en-US" w:eastAsia="zh-CN"/>
              </w:rPr>
            </w:pPr>
            <w:r>
              <w:rPr>
                <w:rFonts w:hint="eastAsia" w:ascii="Times New Roman" w:hAnsi="Times New Roman" w:eastAsia="仿宋_GB2312" w:cs="仿宋_GB2312"/>
                <w:color w:val="000000"/>
                <w:sz w:val="24"/>
                <w:szCs w:val="18"/>
                <w:lang w:val="en-US" w:eastAsia="zh-CN"/>
              </w:rPr>
              <w:t>报纸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trPr>
        <w:tc>
          <w:tcPr>
            <w:tcW w:w="1639" w:type="dxa"/>
            <w:vMerge w:val="continue"/>
            <w:vAlign w:val="center"/>
          </w:tcPr>
          <w:p>
            <w:pPr>
              <w:spacing w:line="380" w:lineRule="exact"/>
              <w:ind w:firstLine="560"/>
              <w:jc w:val="center"/>
              <w:rPr>
                <w:rFonts w:hint="eastAsia" w:ascii="Times New Roman" w:hAnsi="Times New Roman" w:eastAsia="黑体" w:cs="黑体"/>
                <w:color w:val="000000"/>
                <w:sz w:val="28"/>
                <w:szCs w:val="22"/>
              </w:rPr>
            </w:pPr>
          </w:p>
        </w:tc>
        <w:tc>
          <w:tcPr>
            <w:tcW w:w="3761" w:type="dxa"/>
            <w:gridSpan w:val="3"/>
            <w:vMerge w:val="continue"/>
            <w:vAlign w:val="center"/>
          </w:tcPr>
          <w:p>
            <w:pPr>
              <w:spacing w:line="380" w:lineRule="exact"/>
              <w:ind w:firstLine="560"/>
              <w:jc w:val="center"/>
              <w:rPr>
                <w:rFonts w:hint="eastAsia" w:ascii="Times New Roman" w:hAnsi="Times New Roman" w:eastAsia="黑体" w:cs="黑体"/>
                <w:color w:val="000000"/>
                <w:sz w:val="28"/>
                <w:szCs w:val="22"/>
              </w:rPr>
            </w:pPr>
          </w:p>
        </w:tc>
        <w:tc>
          <w:tcPr>
            <w:tcW w:w="1435" w:type="dxa"/>
            <w:vAlign w:val="center"/>
          </w:tcPr>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语种</w:t>
            </w:r>
          </w:p>
        </w:tc>
        <w:tc>
          <w:tcPr>
            <w:tcW w:w="2789" w:type="dxa"/>
            <w:vAlign w:val="center"/>
          </w:tcPr>
          <w:p>
            <w:pPr>
              <w:spacing w:line="260" w:lineRule="exact"/>
              <w:rPr>
                <w:rFonts w:hint="eastAsia" w:ascii="Times New Roman" w:hAnsi="Times New Roman" w:eastAsia="仿宋_GB2312" w:cs="仿宋_GB2312"/>
                <w:color w:val="000000"/>
                <w:sz w:val="24"/>
                <w:szCs w:val="18"/>
                <w:lang w:val="en-US" w:eastAsia="zh-CN"/>
              </w:rPr>
            </w:pPr>
            <w:r>
              <w:rPr>
                <w:rFonts w:hint="eastAsia" w:ascii="Times New Roman" w:hAnsi="Times New Roman" w:eastAsia="仿宋_GB2312" w:cs="仿宋_GB2312"/>
                <w:color w:val="000000"/>
                <w:sz w:val="24"/>
                <w:szCs w:val="18"/>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639" w:type="dxa"/>
            <w:vAlign w:val="center"/>
          </w:tcPr>
          <w:p>
            <w:pPr>
              <w:spacing w:line="320" w:lineRule="exact"/>
              <w:jc w:val="center"/>
              <w:rPr>
                <w:rFonts w:hint="eastAsia" w:ascii="Times New Roman" w:hAnsi="Times New Roman" w:eastAsia="黑体" w:cs="黑体"/>
                <w:color w:val="000000"/>
                <w:spacing w:val="-12"/>
                <w:sz w:val="28"/>
                <w:szCs w:val="22"/>
              </w:rPr>
            </w:pPr>
            <w:r>
              <w:rPr>
                <w:rFonts w:hint="eastAsia" w:ascii="Times New Roman" w:hAnsi="Times New Roman" w:eastAsia="黑体" w:cs="黑体"/>
                <w:color w:val="000000"/>
                <w:spacing w:val="-12"/>
                <w:sz w:val="28"/>
                <w:szCs w:val="22"/>
              </w:rPr>
              <w:t>作  者</w:t>
            </w:r>
          </w:p>
          <w:p>
            <w:pPr>
              <w:spacing w:line="320" w:lineRule="exact"/>
              <w:jc w:val="center"/>
              <w:rPr>
                <w:rFonts w:hint="eastAsia" w:ascii="Times New Roman" w:hAnsi="Times New Roman" w:eastAsia="黑体" w:cs="黑体"/>
                <w:color w:val="000000"/>
                <w:spacing w:val="-12"/>
                <w:sz w:val="24"/>
                <w:szCs w:val="22"/>
              </w:rPr>
            </w:pPr>
            <w:r>
              <w:rPr>
                <w:rFonts w:hint="eastAsia" w:ascii="Times New Roman" w:hAnsi="Times New Roman" w:eastAsia="黑体" w:cs="黑体"/>
                <w:color w:val="000000"/>
                <w:spacing w:val="-12"/>
                <w:sz w:val="24"/>
                <w:szCs w:val="22"/>
              </w:rPr>
              <w:t>（主创人员）</w:t>
            </w:r>
          </w:p>
        </w:tc>
        <w:tc>
          <w:tcPr>
            <w:tcW w:w="2299" w:type="dxa"/>
            <w:gridSpan w:val="2"/>
            <w:vAlign w:val="center"/>
          </w:tcPr>
          <w:p>
            <w:pPr>
              <w:spacing w:line="260" w:lineRule="exact"/>
              <w:rPr>
                <w:rFonts w:hint="default" w:ascii="Times New Roman" w:hAnsi="Times New Roman" w:eastAsia="仿宋_GB2312" w:cs="仿宋_GB2312"/>
                <w:color w:val="000000"/>
                <w:sz w:val="28"/>
                <w:szCs w:val="22"/>
                <w:lang w:val="en-US" w:eastAsia="zh-CN"/>
              </w:rPr>
            </w:pPr>
            <w:r>
              <w:rPr>
                <w:rFonts w:hint="eastAsia" w:ascii="Times New Roman" w:hAnsi="Times New Roman" w:eastAsia="仿宋_GB2312" w:cs="仿宋_GB2312"/>
                <w:color w:val="000000"/>
                <w:sz w:val="24"/>
                <w:szCs w:val="18"/>
                <w:lang w:val="en-US" w:eastAsia="zh-CN"/>
              </w:rPr>
              <w:t>焦以璇 董鲁皖龙</w:t>
            </w:r>
          </w:p>
        </w:tc>
        <w:tc>
          <w:tcPr>
            <w:tcW w:w="1462" w:type="dxa"/>
            <w:vAlign w:val="center"/>
          </w:tcPr>
          <w:p>
            <w:pPr>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编辑</w:t>
            </w:r>
          </w:p>
        </w:tc>
        <w:tc>
          <w:tcPr>
            <w:tcW w:w="4224" w:type="dxa"/>
            <w:gridSpan w:val="2"/>
            <w:vAlign w:val="center"/>
          </w:tcPr>
          <w:p>
            <w:pPr>
              <w:spacing w:line="240" w:lineRule="exact"/>
              <w:rPr>
                <w:rFonts w:hint="default" w:ascii="Times New Roman" w:hAnsi="Times New Roman" w:eastAsia="仿宋_GB2312" w:cs="仿宋_GB2312"/>
                <w:color w:val="000000"/>
                <w:w w:val="95"/>
                <w:szCs w:val="21"/>
                <w:lang w:val="en-US" w:eastAsia="zh-CN"/>
              </w:rPr>
            </w:pPr>
            <w:r>
              <w:rPr>
                <w:rFonts w:hint="eastAsia" w:ascii="Times New Roman" w:hAnsi="Times New Roman" w:eastAsia="仿宋_GB2312" w:cs="仿宋_GB2312"/>
                <w:color w:val="000000"/>
                <w:sz w:val="24"/>
                <w:szCs w:val="18"/>
                <w:lang w:val="en-US" w:eastAsia="zh-CN"/>
              </w:rPr>
              <w:t>王强 梁昱娟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639" w:type="dxa"/>
            <w:vAlign w:val="center"/>
          </w:tcPr>
          <w:p>
            <w:pPr>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刊播单位</w:t>
            </w:r>
          </w:p>
        </w:tc>
        <w:tc>
          <w:tcPr>
            <w:tcW w:w="2299" w:type="dxa"/>
            <w:gridSpan w:val="2"/>
            <w:vAlign w:val="center"/>
          </w:tcPr>
          <w:p>
            <w:pPr>
              <w:spacing w:line="260" w:lineRule="exact"/>
              <w:ind w:firstLine="420"/>
              <w:rPr>
                <w:rFonts w:hint="eastAsia" w:ascii="Times New Roman" w:hAnsi="Times New Roman" w:eastAsia="仿宋_GB2312" w:cs="仿宋_GB2312"/>
                <w:color w:val="000000"/>
                <w:szCs w:val="21"/>
                <w:lang w:val="en-US" w:eastAsia="zh-CN"/>
              </w:rPr>
            </w:pPr>
            <w:r>
              <w:rPr>
                <w:rFonts w:hint="eastAsia" w:ascii="Times New Roman" w:hAnsi="Times New Roman" w:eastAsia="仿宋_GB2312" w:cs="仿宋_GB2312"/>
                <w:color w:val="000000"/>
                <w:sz w:val="24"/>
                <w:szCs w:val="24"/>
                <w:lang w:val="en-US" w:eastAsia="zh-CN"/>
              </w:rPr>
              <w:t>中国教育报</w:t>
            </w:r>
          </w:p>
        </w:tc>
        <w:tc>
          <w:tcPr>
            <w:tcW w:w="1462" w:type="dxa"/>
            <w:vAlign w:val="center"/>
          </w:tcPr>
          <w:p>
            <w:pPr>
              <w:spacing w:line="40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刊播日期</w:t>
            </w:r>
          </w:p>
        </w:tc>
        <w:tc>
          <w:tcPr>
            <w:tcW w:w="4224" w:type="dxa"/>
            <w:gridSpan w:val="2"/>
            <w:vAlign w:val="center"/>
          </w:tcPr>
          <w:p>
            <w:pPr>
              <w:spacing w:line="260" w:lineRule="exact"/>
              <w:rPr>
                <w:rFonts w:hint="default" w:ascii="Times New Roman" w:hAnsi="Times New Roman" w:eastAsia="仿宋_GB2312" w:cs="仿宋_GB2312"/>
                <w:color w:val="000000"/>
                <w:sz w:val="18"/>
                <w:szCs w:val="18"/>
                <w:highlight w:val="green"/>
                <w:lang w:val="en-US" w:eastAsia="zh-CN"/>
              </w:rPr>
            </w:pPr>
            <w:r>
              <w:rPr>
                <w:rFonts w:hint="eastAsia" w:ascii="Times New Roman" w:hAnsi="Times New Roman" w:eastAsia="仿宋_GB2312" w:cs="仿宋_GB2312"/>
                <w:color w:val="000000"/>
                <w:sz w:val="24"/>
                <w:szCs w:val="18"/>
                <w:lang w:val="en-US" w:eastAsia="zh-CN"/>
              </w:rPr>
              <w:t>2022年3月11日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exact"/>
        </w:trPr>
        <w:tc>
          <w:tcPr>
            <w:tcW w:w="1639" w:type="dxa"/>
            <w:vAlign w:val="center"/>
          </w:tcPr>
          <w:p>
            <w:pPr>
              <w:spacing w:line="4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刊播版面</w:t>
            </w:r>
            <w:r>
              <w:rPr>
                <w:rFonts w:hint="eastAsia" w:ascii="Times New Roman" w:hAnsi="Times New Roman" w:eastAsia="黑体" w:cs="黑体"/>
                <w:color w:val="000000"/>
                <w:spacing w:val="-12"/>
                <w:sz w:val="28"/>
                <w:szCs w:val="22"/>
              </w:rPr>
              <w:t>(</w:t>
            </w:r>
            <w:r>
              <w:rPr>
                <w:rFonts w:hint="eastAsia" w:ascii="Times New Roman" w:hAnsi="Times New Roman" w:eastAsia="黑体" w:cs="黑体"/>
                <w:color w:val="000000"/>
                <w:spacing w:val="-12"/>
                <w:sz w:val="24"/>
                <w:szCs w:val="22"/>
              </w:rPr>
              <w:t>名称和版次)</w:t>
            </w:r>
          </w:p>
        </w:tc>
        <w:tc>
          <w:tcPr>
            <w:tcW w:w="2299" w:type="dxa"/>
            <w:gridSpan w:val="2"/>
            <w:vAlign w:val="center"/>
          </w:tcPr>
          <w:p>
            <w:pPr>
              <w:spacing w:line="260" w:lineRule="exact"/>
              <w:jc w:val="center"/>
              <w:rPr>
                <w:rFonts w:hint="default" w:ascii="Times New Roman" w:hAnsi="Times New Roman" w:eastAsia="仿宋_GB2312" w:cs="仿宋_GB2312"/>
                <w:color w:val="000000"/>
                <w:szCs w:val="21"/>
                <w:lang w:val="en-US" w:eastAsia="zh-CN"/>
              </w:rPr>
            </w:pPr>
            <w:r>
              <w:rPr>
                <w:rFonts w:hint="eastAsia" w:ascii="Times New Roman" w:hAnsi="Times New Roman" w:eastAsia="仿宋_GB2312" w:cs="仿宋_GB2312"/>
                <w:color w:val="000000"/>
                <w:sz w:val="24"/>
                <w:szCs w:val="18"/>
                <w:lang w:val="en-US" w:eastAsia="zh-CN"/>
              </w:rPr>
              <w:t>03版 两会特刊</w:t>
            </w:r>
          </w:p>
        </w:tc>
        <w:tc>
          <w:tcPr>
            <w:tcW w:w="1462" w:type="dxa"/>
            <w:vAlign w:val="center"/>
          </w:tcPr>
          <w:p>
            <w:pPr>
              <w:spacing w:line="40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作品字数</w:t>
            </w:r>
          </w:p>
          <w:p>
            <w:pPr>
              <w:spacing w:line="40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（时长）</w:t>
            </w:r>
          </w:p>
        </w:tc>
        <w:tc>
          <w:tcPr>
            <w:tcW w:w="4224" w:type="dxa"/>
            <w:gridSpan w:val="2"/>
            <w:vAlign w:val="center"/>
          </w:tcPr>
          <w:p>
            <w:pPr>
              <w:spacing w:line="260" w:lineRule="exact"/>
              <w:rPr>
                <w:rFonts w:hint="default" w:ascii="Times New Roman" w:hAnsi="Times New Roman" w:eastAsia="仿宋_GB2312" w:cs="仿宋_GB2312"/>
                <w:color w:val="000000"/>
                <w:szCs w:val="21"/>
                <w:lang w:val="en-US" w:eastAsia="zh-CN"/>
              </w:rPr>
            </w:pPr>
            <w:r>
              <w:rPr>
                <w:rFonts w:hint="eastAsia" w:ascii="Times New Roman" w:hAnsi="Times New Roman" w:eastAsia="仿宋_GB2312" w:cs="仿宋_GB2312"/>
                <w:color w:val="000000"/>
                <w:sz w:val="24"/>
                <w:szCs w:val="18"/>
                <w:lang w:val="en-US" w:eastAsia="zh-CN"/>
              </w:rPr>
              <w:t>3105字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trPr>
        <w:tc>
          <w:tcPr>
            <w:tcW w:w="2827" w:type="dxa"/>
            <w:gridSpan w:val="2"/>
            <w:vAlign w:val="center"/>
          </w:tcPr>
          <w:p>
            <w:pPr>
              <w:spacing w:line="340" w:lineRule="exact"/>
              <w:rPr>
                <w:rFonts w:ascii="Times New Roman" w:hAnsi="Times New Roman"/>
                <w:color w:val="000000"/>
                <w:szCs w:val="21"/>
              </w:rPr>
            </w:pPr>
            <w:r>
              <w:rPr>
                <w:rFonts w:hint="eastAsia" w:ascii="Times New Roman" w:hAnsi="Times New Roman" w:eastAsia="黑体" w:cs="黑体"/>
                <w:color w:val="000000"/>
                <w:sz w:val="28"/>
                <w:szCs w:val="22"/>
              </w:rPr>
              <w:t>新媒体作品填报网址</w:t>
            </w:r>
          </w:p>
        </w:tc>
        <w:tc>
          <w:tcPr>
            <w:tcW w:w="6797" w:type="dxa"/>
            <w:gridSpan w:val="4"/>
            <w:vAlign w:val="center"/>
          </w:tcPr>
          <w:p>
            <w:pPr>
              <w:spacing w:line="260" w:lineRule="exact"/>
              <w:rPr>
                <w:rFonts w:ascii="Times New Roman" w:hAnsi="Times New Roman" w:eastAsia="华文中宋"/>
                <w:color w:val="000000"/>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8" w:hRule="atLeast"/>
        </w:trPr>
        <w:tc>
          <w:tcPr>
            <w:tcW w:w="1639" w:type="dxa"/>
            <w:vAlign w:val="center"/>
          </w:tcPr>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 xml:space="preserve">  ︵</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作采</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品编</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简过</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介程</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 xml:space="preserve">  ︶</w:t>
            </w:r>
          </w:p>
        </w:tc>
        <w:tc>
          <w:tcPr>
            <w:tcW w:w="7985" w:type="dxa"/>
            <w:gridSpan w:val="5"/>
            <w:vAlign w:val="center"/>
          </w:tcPr>
          <w:p>
            <w:pPr>
              <w:spacing w:line="300" w:lineRule="exact"/>
              <w:ind w:firstLine="420"/>
              <w:rPr>
                <w:rFonts w:hint="eastAsia" w:ascii="Times New Roman" w:hAnsi="Times New Roman" w:eastAsia="仿宋_GB2312" w:cs="仿宋_GB2312"/>
                <w:color w:val="000000"/>
                <w:sz w:val="24"/>
                <w:szCs w:val="18"/>
                <w:lang w:val="en-US" w:eastAsia="zh-CN"/>
              </w:rPr>
            </w:pPr>
            <w:r>
              <w:rPr>
                <w:rFonts w:hint="eastAsia" w:ascii="Times New Roman" w:hAnsi="Times New Roman" w:eastAsia="仿宋_GB2312" w:cs="仿宋_GB2312"/>
                <w:color w:val="000000"/>
                <w:sz w:val="24"/>
                <w:szCs w:val="18"/>
                <w:lang w:val="en-US" w:eastAsia="zh-CN"/>
              </w:rPr>
              <w:t>2022年是十三届全国政协履职的最后一年，我们认为系统总结回顾全国政协委员的五年期履职答卷，积极展现他们为国履职、为民尽责的风采是非常有价值的选题。作为教育行业主流媒体的记者，本文作者全程参与了十三届政协五年来的会议报道，见证了全国政协委员是如何关心教育、为教育献智献策的。因此，我们从教育的视角出发，聚焦11位全国政协委员的教育履职答卷，从关心高校“双一流”建设到为职业教育鼓与呼，从持续为“县中振兴”发声到积极</w:t>
            </w:r>
            <w:bookmarkStart w:id="0" w:name="_GoBack"/>
            <w:bookmarkEnd w:id="0"/>
            <w:r>
              <w:rPr>
                <w:rFonts w:hint="eastAsia" w:ascii="Times New Roman" w:hAnsi="Times New Roman" w:eastAsia="仿宋_GB2312" w:cs="仿宋_GB2312"/>
                <w:color w:val="000000"/>
                <w:sz w:val="24"/>
                <w:szCs w:val="18"/>
                <w:lang w:val="en-US" w:eastAsia="zh-CN"/>
              </w:rPr>
              <w:t>推动培训机构治理政策落地，等等。委员们聚焦教育的热点难点问题，担责于身，履职于行，用一份份提案凝聚起了推动教育改革发展的强大力量。</w:t>
            </w:r>
          </w:p>
          <w:p>
            <w:pPr>
              <w:spacing w:line="300" w:lineRule="exact"/>
              <w:ind w:firstLine="420"/>
              <w:rPr>
                <w:rFonts w:hint="default"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18"/>
                <w:lang w:val="en-US" w:eastAsia="zh-CN"/>
              </w:rPr>
              <w:t>中国教育报官网、客户端全文转发，中国教育报各网络平台官方号重点推出，网络点击量迅速破万、持续走高，读者纷纷留言、点赞、转发。</w:t>
            </w:r>
          </w:p>
          <w:p>
            <w:pPr>
              <w:spacing w:line="300" w:lineRule="exact"/>
              <w:ind w:firstLine="420"/>
              <w:rPr>
                <w:rFonts w:hint="eastAsia" w:ascii="Times New Roman" w:hAnsi="Times New Roman" w:eastAsia="仿宋_GB2312" w:cs="仿宋_GB2312"/>
                <w:color w:val="000000"/>
                <w:w w:val="9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exact"/>
        </w:trPr>
        <w:tc>
          <w:tcPr>
            <w:tcW w:w="1639" w:type="dxa"/>
            <w:vAlign w:val="center"/>
          </w:tcPr>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社</w:t>
            </w:r>
          </w:p>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会</w:t>
            </w:r>
          </w:p>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效</w:t>
            </w:r>
          </w:p>
          <w:p>
            <w:pPr>
              <w:spacing w:line="38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果</w:t>
            </w:r>
          </w:p>
        </w:tc>
        <w:tc>
          <w:tcPr>
            <w:tcW w:w="7985" w:type="dxa"/>
            <w:gridSpan w:val="5"/>
            <w:vAlign w:val="center"/>
          </w:tcPr>
          <w:p>
            <w:pPr>
              <w:spacing w:line="300" w:lineRule="exact"/>
              <w:ind w:firstLine="420"/>
              <w:rPr>
                <w:rFonts w:hint="default" w:ascii="Times New Roman" w:hAnsi="Times New Roman" w:eastAsia="宋体" w:cs="仿宋_GB2312"/>
                <w:color w:val="000000"/>
                <w:szCs w:val="21"/>
                <w:lang w:val="en-US" w:eastAsia="zh-CN"/>
              </w:rPr>
            </w:pPr>
            <w:r>
              <w:rPr>
                <w:rFonts w:hint="eastAsia" w:ascii="Times New Roman" w:hAnsi="Times New Roman" w:eastAsia="仿宋_GB2312" w:cs="仿宋_GB2312"/>
                <w:color w:val="000000"/>
                <w:sz w:val="24"/>
                <w:szCs w:val="18"/>
                <w:lang w:val="en-US" w:eastAsia="zh-CN"/>
              </w:rPr>
              <w:t>文章见报后，教育部官方网站全文刊发，在教育系统引发热烈反响，取得了较好的社会传播效果。文章第一时间被学习强国、中国网、今日头条、搜狐等头部网媒纷纷转载，影响力持续扩散。文章还得到全国政协委员特别是教育科技届别委员的认可、好评和转发，认为文章展现了政协委员的履职担当和近年来教育改革发展的可喜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8" w:hRule="exact"/>
        </w:trPr>
        <w:tc>
          <w:tcPr>
            <w:tcW w:w="1639" w:type="dxa"/>
            <w:tcBorders>
              <w:bottom w:val="single" w:color="auto" w:sz="4" w:space="0"/>
            </w:tcBorders>
            <w:vAlign w:val="center"/>
          </w:tcPr>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单</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位</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意</w:t>
            </w:r>
          </w:p>
          <w:p>
            <w:pPr>
              <w:spacing w:line="340" w:lineRule="exact"/>
              <w:jc w:val="center"/>
              <w:rPr>
                <w:rFonts w:hint="eastAsia" w:ascii="Times New Roman" w:hAnsi="Times New Roman" w:eastAsia="黑体" w:cs="黑体"/>
                <w:color w:val="000000"/>
                <w:sz w:val="28"/>
                <w:szCs w:val="22"/>
              </w:rPr>
            </w:pPr>
            <w:r>
              <w:rPr>
                <w:rFonts w:hint="eastAsia" w:ascii="Times New Roman" w:hAnsi="Times New Roman" w:eastAsia="黑体" w:cs="黑体"/>
                <w:color w:val="000000"/>
                <w:sz w:val="28"/>
                <w:szCs w:val="22"/>
              </w:rPr>
              <w:t>见</w:t>
            </w:r>
          </w:p>
        </w:tc>
        <w:tc>
          <w:tcPr>
            <w:tcW w:w="7985" w:type="dxa"/>
            <w:gridSpan w:val="5"/>
            <w:tcBorders>
              <w:bottom w:val="single" w:color="auto" w:sz="4" w:space="0"/>
            </w:tcBorders>
            <w:vAlign w:val="center"/>
          </w:tcPr>
          <w:p>
            <w:pPr>
              <w:spacing w:line="300" w:lineRule="exact"/>
              <w:ind w:firstLine="420"/>
              <w:rPr>
                <w:rFonts w:hint="default" w:ascii="Times New Roman" w:hAnsi="Times New Roman" w:eastAsia="仿宋_GB2312" w:cs="仿宋_GB2312"/>
                <w:color w:val="000000"/>
                <w:sz w:val="24"/>
                <w:szCs w:val="18"/>
                <w:lang w:val="en-US"/>
              </w:rPr>
            </w:pPr>
            <w:r>
              <w:rPr>
                <w:rFonts w:hint="eastAsia" w:ascii="Times New Roman" w:hAnsi="Times New Roman" w:eastAsia="仿宋_GB2312" w:cs="仿宋_GB2312"/>
                <w:color w:val="000000"/>
                <w:sz w:val="24"/>
                <w:szCs w:val="18"/>
              </w:rPr>
              <w:t>推荐理由：</w:t>
            </w:r>
            <w:r>
              <w:rPr>
                <w:rFonts w:hint="eastAsia" w:ascii="Times New Roman" w:hAnsi="Times New Roman" w:eastAsia="仿宋_GB2312" w:cs="仿宋_GB2312"/>
                <w:color w:val="000000"/>
                <w:sz w:val="24"/>
                <w:szCs w:val="18"/>
                <w:lang w:val="en-US" w:eastAsia="zh-CN"/>
              </w:rPr>
              <w:t>本文采访扎实、文风生动流畅，积极展现了全国政协委员五年履职尽责中担当作为的风采，为读者了解政协工作提供了重要窗口。</w:t>
            </w:r>
          </w:p>
          <w:p>
            <w:pPr>
              <w:spacing w:line="300" w:lineRule="exact"/>
              <w:ind w:firstLine="420"/>
              <w:rPr>
                <w:rFonts w:hint="eastAsia" w:ascii="Times New Roman" w:hAnsi="Times New Roman" w:eastAsia="仿宋_GB2312" w:cs="仿宋_GB2312"/>
                <w:color w:val="000000"/>
                <w:sz w:val="24"/>
                <w:szCs w:val="18"/>
              </w:rPr>
            </w:pPr>
            <w:r>
              <w:rPr>
                <w:rFonts w:hint="eastAsia" w:ascii="Times New Roman" w:hAnsi="Times New Roman" w:eastAsia="仿宋_GB2312" w:cs="仿宋_GB2312"/>
                <w:color w:val="000000"/>
                <w:sz w:val="24"/>
                <w:szCs w:val="18"/>
              </w:rPr>
              <w:t>经我单位审核，该作品内容真实，相关申报材料属实。我单位同意推荐该作品参加第二十五届全国政协好新闻评选。</w:t>
            </w:r>
          </w:p>
          <w:p>
            <w:pPr>
              <w:spacing w:line="300" w:lineRule="exact"/>
              <w:ind w:firstLine="420"/>
              <w:rPr>
                <w:rFonts w:hint="eastAsia" w:ascii="Times New Roman" w:hAnsi="Times New Roman" w:eastAsia="仿宋_GB2312" w:cs="仿宋_GB2312"/>
                <w:color w:val="000000"/>
                <w:sz w:val="24"/>
                <w:szCs w:val="18"/>
              </w:rPr>
            </w:pPr>
            <w:r>
              <w:rPr>
                <w:rFonts w:hint="eastAsia" w:ascii="Times New Roman" w:hAnsi="Times New Roman" w:eastAsia="仿宋_GB2312" w:cs="仿宋_GB2312"/>
                <w:color w:val="000000"/>
                <w:sz w:val="24"/>
                <w:szCs w:val="18"/>
              </w:rPr>
              <w:t xml:space="preserve">                      刊播单位负责同志签名</w:t>
            </w:r>
          </w:p>
          <w:p>
            <w:pPr>
              <w:spacing w:line="300" w:lineRule="exact"/>
              <w:ind w:firstLine="420"/>
              <w:jc w:val="right"/>
              <w:rPr>
                <w:rFonts w:hint="eastAsia" w:ascii="Times New Roman" w:hAnsi="Times New Roman" w:eastAsia="仿宋_GB2312" w:cs="仿宋_GB2312"/>
                <w:color w:val="000000"/>
                <w:szCs w:val="21"/>
              </w:rPr>
            </w:pPr>
            <w:r>
              <w:rPr>
                <w:rFonts w:hint="eastAsia" w:ascii="Times New Roman" w:hAnsi="Times New Roman" w:eastAsia="仿宋_GB2312" w:cs="仿宋_GB2312"/>
                <w:color w:val="000000"/>
                <w:sz w:val="24"/>
                <w:szCs w:val="18"/>
              </w:rPr>
              <w:t xml:space="preserve">（盖刊播单位公章） </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color w:val="000000"/>
                <w:sz w:val="24"/>
                <w:szCs w:val="18"/>
              </w:rPr>
              <w:t>2024年  月  日</w:t>
            </w:r>
          </w:p>
        </w:tc>
      </w:tr>
    </w:tbl>
    <w:p>
      <w:pPr>
        <w:spacing w:line="480" w:lineRule="exact"/>
        <w:rPr>
          <w:rFonts w:hint="eastAsia" w:ascii="Times New Roman" w:hAnsi="Times New Roman" w:eastAsia="仿宋_GB2312" w:cs="仿宋_GB2312"/>
          <w:sz w:val="32"/>
          <w:szCs w:val="22"/>
        </w:rPr>
      </w:pPr>
      <w:r>
        <w:rPr>
          <w:rFonts w:hint="eastAsia" w:ascii="Times New Roman" w:hAnsi="Times New Roman" w:eastAsia="仿宋_GB2312" w:cs="仿宋_GB2312"/>
          <w:sz w:val="32"/>
          <w:szCs w:val="22"/>
        </w:rPr>
        <w:t>说明：另附名单和另附页，请加盖刊播单位公章。</w:t>
      </w:r>
    </w:p>
    <w:p>
      <w:pPr>
        <w:spacing w:afterLines="50"/>
        <w:jc w:val="center"/>
        <w:rPr>
          <w:rFonts w:hint="eastAsia" w:ascii="Times New Roman" w:hAnsi="Times New Roman" w:eastAsia="方正小标宋简体" w:cs="方正小标宋简体"/>
          <w:color w:val="000000"/>
          <w:sz w:val="44"/>
          <w:szCs w:val="44"/>
        </w:rPr>
      </w:pPr>
    </w:p>
    <w:p>
      <w:pPr>
        <w:spacing w:afterLines="50"/>
        <w:jc w:val="center"/>
        <w:rPr>
          <w:rFonts w:hint="eastAsia" w:ascii="Times New Roman" w:hAnsi="Times New Roman" w:eastAsia="方正小标宋简体" w:cs="方正小标宋简体"/>
          <w:color w:val="000000"/>
          <w:sz w:val="44"/>
          <w:szCs w:val="44"/>
        </w:rPr>
      </w:pPr>
    </w:p>
    <w:p>
      <w:pPr>
        <w:spacing w:afterLines="50"/>
        <w:jc w:val="center"/>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参评作品推荐表填报说明</w:t>
      </w:r>
    </w:p>
    <w:p>
      <w:pPr>
        <w:spacing w:line="440" w:lineRule="exact"/>
        <w:ind w:firstLine="641"/>
        <w:outlineLvl w:val="1"/>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一、作品标题：应与刊播作品一致，有副标题、肩题等形式标题的作品，填报主标题。</w:t>
      </w:r>
    </w:p>
    <w:p>
      <w:pPr>
        <w:spacing w:line="440" w:lineRule="exact"/>
        <w:ind w:firstLine="641"/>
        <w:outlineLvl w:val="1"/>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二、参评项目：按照评选通知7个“评选项目”填报。</w:t>
      </w:r>
    </w:p>
    <w:p>
      <w:pPr>
        <w:spacing w:line="440" w:lineRule="exact"/>
        <w:ind w:firstLine="641"/>
        <w:outlineLvl w:val="1"/>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三、刊播介质：从报纸、通讯社、期刊、广播、电视、网络新媒体6种介质中选择。</w:t>
      </w:r>
    </w:p>
    <w:p>
      <w:pPr>
        <w:spacing w:line="440" w:lineRule="exact"/>
        <w:ind w:firstLine="641"/>
        <w:outlineLvl w:val="1"/>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四、语种：作品为中文以外的语言文字，应填报语种。</w:t>
      </w:r>
    </w:p>
    <w:p>
      <w:pPr>
        <w:spacing w:line="440" w:lineRule="exact"/>
        <w:ind w:firstLine="641"/>
        <w:outlineLvl w:val="1"/>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五、严格按本规定填报作者（主创人员）和编辑姓名。按“集体”申报的，应附做出主要贡献的人员名单。</w:t>
      </w:r>
    </w:p>
    <w:p>
      <w:pPr>
        <w:spacing w:line="440" w:lineRule="exact"/>
        <w:ind w:firstLine="641"/>
        <w:outlineLvl w:val="1"/>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六、刊播单位：填报新闻单位名称，不包括内设部门、频道、频率等。</w:t>
      </w:r>
    </w:p>
    <w:p>
      <w:pPr>
        <w:spacing w:line="440" w:lineRule="exact"/>
        <w:ind w:firstLine="641"/>
        <w:outlineLvl w:val="1"/>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七、刊播版面（名称和版次）：报纸作品填写版面名称和版次；广播、电视作品填报栏目或专题节目名称；通讯社、期刊作品可不填报；网络新媒体作品填报发布平台名称、账号等。</w:t>
      </w:r>
    </w:p>
    <w:p>
      <w:pPr>
        <w:spacing w:line="440" w:lineRule="exact"/>
        <w:ind w:firstLine="641"/>
        <w:outlineLvl w:val="1"/>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八、刊播日期：报纸作品填报见报日期；通讯社作品填报发稿日期；广播、电视作品填报播出日期和时间；期刊作品填报年度刊期；新媒体作品填报发布日期和时间。</w:t>
      </w:r>
    </w:p>
    <w:p>
      <w:pPr>
        <w:spacing w:line="440" w:lineRule="exact"/>
        <w:ind w:firstLine="641"/>
        <w:outlineLvl w:val="1"/>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九、新媒体作品填报网址：扫描二维码后，填写显示出的网址。</w:t>
      </w:r>
    </w:p>
    <w:p>
      <w:pPr>
        <w:spacing w:line="440" w:lineRule="exact"/>
        <w:ind w:firstLine="641"/>
        <w:outlineLvl w:val="1"/>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十、作品简介（采编过程）：择要填报。同时填报全媒体采编制、发布以及作品点击量、转发量、受众参与度等情况。字数不得超过500字（以Word字数统计为准，下同）。</w:t>
      </w:r>
    </w:p>
    <w:p>
      <w:pPr>
        <w:spacing w:line="440" w:lineRule="exact"/>
        <w:ind w:firstLine="641"/>
        <w:outlineLvl w:val="1"/>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十一、社会效果：择要填报作品刊播后的社会影响，转载、引用情况。通讯社作品填报落地和采用情况。字数不超过500字。</w:t>
      </w:r>
    </w:p>
    <w:p>
      <w:pPr>
        <w:spacing w:line="440" w:lineRule="exact"/>
        <w:ind w:firstLine="641"/>
        <w:outlineLvl w:val="1"/>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国际传播类作品，同时填报境外落地、转载情况。网络转载的，注明转载链接，并提供境外用户浏览量和点击率，可另附页。</w:t>
      </w:r>
    </w:p>
    <w:p>
      <w:pPr>
        <w:numPr>
          <w:ilvl w:val="0"/>
          <w:numId w:val="1"/>
        </w:numPr>
        <w:spacing w:line="440" w:lineRule="exact"/>
        <w:ind w:firstLine="641"/>
        <w:outlineLvl w:val="1"/>
        <w:rPr>
          <w:rFonts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推荐理由：报送单位填报对作品的推荐理由。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4E2AC5"/>
    <w:multiLevelType w:val="singleLevel"/>
    <w:tmpl w:val="7B4E2AC5"/>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YWZjYTkxNDk4MjU4Y2VjYjQ5MGFlNzcwZTRhMmUifQ=="/>
  </w:docVars>
  <w:rsids>
    <w:rsidRoot w:val="00C4148B"/>
    <w:rsid w:val="008D1BBB"/>
    <w:rsid w:val="00C4148B"/>
    <w:rsid w:val="0B9F6417"/>
    <w:rsid w:val="13BC5DB8"/>
    <w:rsid w:val="1945672E"/>
    <w:rsid w:val="3E2919ED"/>
    <w:rsid w:val="4E455377"/>
    <w:rsid w:val="533D09DA"/>
    <w:rsid w:val="76B92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178</Words>
  <Characters>1017</Characters>
  <Lines>8</Lines>
  <Paragraphs>2</Paragraphs>
  <TotalTime>34</TotalTime>
  <ScaleCrop>false</ScaleCrop>
  <LinksUpToDate>false</LinksUpToDate>
  <CharactersWithSpaces>1193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2024-01-19T07:43:00Z</dcterms:created>
  <dc:creator>cppcc</dc:creator>
  <cp:lastModifiedBy>以璇</cp:lastModifiedBy>
  <cp:lastPrinted>2024-04-03T07:49:49Z</cp:lastPrinted>
  <dcterms:modified xsi:type="dcterms:W3CDTF">2024-04-03T07:51:02Z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73943F23B45C4562B3838CB65BCF7EF8_13</vt:lpwstr>
  </property>
</Properties>
</file>